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3DA0">
      <w:pPr>
        <w:tabs>
          <w:tab w:val="left" w:pos="643"/>
        </w:tabs>
        <w:overflowPunct w:val="0"/>
        <w:spacing w:line="500" w:lineRule="exact"/>
        <w:ind w:firstLine="640" w:firstLineChars="200"/>
        <w:jc w:val="center"/>
        <w:rPr>
          <w:rFonts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color w:val="auto"/>
          <w:sz w:val="32"/>
          <w:szCs w:val="36"/>
        </w:rPr>
        <w:t>河南国医学院工作人员出差审批单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171"/>
        <w:gridCol w:w="2144"/>
        <w:gridCol w:w="2090"/>
      </w:tblGrid>
      <w:tr w14:paraId="278E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 w14:paraId="15BDEB4A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出差人</w:t>
            </w:r>
          </w:p>
        </w:tc>
        <w:tc>
          <w:tcPr>
            <w:tcW w:w="2265" w:type="dxa"/>
          </w:tcPr>
          <w:p w14:paraId="25D0F002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  <w:tc>
          <w:tcPr>
            <w:tcW w:w="2265" w:type="dxa"/>
          </w:tcPr>
          <w:p w14:paraId="18ED750C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工作单位及职务</w:t>
            </w:r>
          </w:p>
        </w:tc>
        <w:tc>
          <w:tcPr>
            <w:tcW w:w="2265" w:type="dxa"/>
          </w:tcPr>
          <w:p w14:paraId="14E5CF22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</w:tr>
      <w:tr w14:paraId="2D53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</w:tcPr>
          <w:p w14:paraId="40A54FD6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出差线路</w:t>
            </w:r>
          </w:p>
        </w:tc>
        <w:tc>
          <w:tcPr>
            <w:tcW w:w="2265" w:type="dxa"/>
          </w:tcPr>
          <w:p w14:paraId="2040E068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default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     至</w:t>
            </w:r>
          </w:p>
        </w:tc>
        <w:tc>
          <w:tcPr>
            <w:tcW w:w="2265" w:type="dxa"/>
            <w:vMerge w:val="restart"/>
          </w:tcPr>
          <w:p w14:paraId="69353628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出差事由及费用支付单位</w:t>
            </w:r>
          </w:p>
        </w:tc>
        <w:tc>
          <w:tcPr>
            <w:tcW w:w="2265" w:type="dxa"/>
            <w:vMerge w:val="restart"/>
          </w:tcPr>
          <w:p w14:paraId="0ED25366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</w:t>
            </w:r>
          </w:p>
        </w:tc>
      </w:tr>
      <w:tr w14:paraId="21F7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 w14:paraId="2A027BB3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</w:p>
        </w:tc>
        <w:tc>
          <w:tcPr>
            <w:tcW w:w="2265" w:type="dxa"/>
          </w:tcPr>
          <w:p w14:paraId="5E2EDAF0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     至</w:t>
            </w:r>
          </w:p>
        </w:tc>
        <w:tc>
          <w:tcPr>
            <w:tcW w:w="2265" w:type="dxa"/>
            <w:vMerge w:val="continue"/>
          </w:tcPr>
          <w:p w14:paraId="72E97E24">
            <w:pPr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2265" w:type="dxa"/>
            <w:vMerge w:val="continue"/>
          </w:tcPr>
          <w:p w14:paraId="71C09365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</w:tr>
      <w:tr w14:paraId="6D86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vMerge w:val="restart"/>
          </w:tcPr>
          <w:p w14:paraId="05AC0FFE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4F7A35C6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     至</w:t>
            </w:r>
          </w:p>
        </w:tc>
        <w:tc>
          <w:tcPr>
            <w:tcW w:w="2265" w:type="dxa"/>
            <w:vMerge w:val="restart"/>
          </w:tcPr>
          <w:p w14:paraId="6C3CA7FA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会议、培训费用支付单位</w:t>
            </w:r>
          </w:p>
        </w:tc>
        <w:tc>
          <w:tcPr>
            <w:tcW w:w="2265" w:type="dxa"/>
            <w:vMerge w:val="restart"/>
          </w:tcPr>
          <w:p w14:paraId="25B150E7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</w:tr>
      <w:tr w14:paraId="71F0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vMerge w:val="continue"/>
          </w:tcPr>
          <w:p w14:paraId="2B1EC112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5" w:type="dxa"/>
            <w:shd w:val="clear" w:color="auto" w:fill="auto"/>
            <w:vAlign w:val="top"/>
          </w:tcPr>
          <w:p w14:paraId="2E5236E2">
            <w:pPr>
              <w:tabs>
                <w:tab w:val="left" w:pos="643"/>
              </w:tabs>
              <w:overflowPunct w:val="0"/>
              <w:spacing w:line="560" w:lineRule="exact"/>
              <w:ind w:firstLine="960" w:firstLineChars="300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>至</w:t>
            </w:r>
          </w:p>
        </w:tc>
        <w:tc>
          <w:tcPr>
            <w:tcW w:w="2265" w:type="dxa"/>
            <w:vMerge w:val="continue"/>
          </w:tcPr>
          <w:p w14:paraId="5FAADBBA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Merge w:val="continue"/>
          </w:tcPr>
          <w:p w14:paraId="4A9B0E30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6885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61433FB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拟出差时间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6570C294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65" w:type="dxa"/>
          </w:tcPr>
          <w:p w14:paraId="2CDCF281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  <w:tc>
          <w:tcPr>
            <w:tcW w:w="2265" w:type="dxa"/>
          </w:tcPr>
          <w:p w14:paraId="72DC2E25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</w:rPr>
            </w:pPr>
          </w:p>
        </w:tc>
      </w:tr>
      <w:tr w14:paraId="1E50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65" w:type="dxa"/>
          </w:tcPr>
          <w:p w14:paraId="28327663">
            <w:pPr>
              <w:tabs>
                <w:tab w:val="left" w:pos="643"/>
              </w:tabs>
              <w:overflow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审批人意见</w:t>
            </w:r>
          </w:p>
        </w:tc>
        <w:tc>
          <w:tcPr>
            <w:tcW w:w="6795" w:type="dxa"/>
            <w:gridSpan w:val="3"/>
            <w:vAlign w:val="bottom"/>
          </w:tcPr>
          <w:p w14:paraId="47992E59">
            <w:pPr>
              <w:tabs>
                <w:tab w:val="left" w:pos="643"/>
              </w:tabs>
              <w:overflowPunct w:val="0"/>
              <w:spacing w:line="560" w:lineRule="exact"/>
              <w:jc w:val="right"/>
              <w:rPr>
                <w:rFonts w:hint="default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6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61BAA928">
      <w:pPr>
        <w:tabs>
          <w:tab w:val="left" w:pos="643"/>
        </w:tabs>
        <w:overflowPunct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sz w:val="32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6"/>
        </w:rPr>
        <w:t>填表人：</w:t>
      </w:r>
    </w:p>
    <w:p w14:paraId="42BD7375">
      <w:pPr>
        <w:tabs>
          <w:tab w:val="left" w:pos="643"/>
        </w:tabs>
        <w:overflowPunct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sz w:val="32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6"/>
        </w:rPr>
        <w:t>备注：1.出差人员出差前需填写本表，报部门、单位负责人审批，办理报销手续时作原始凭证。若属会议、培训、调研等活动的需附会议、培训通知等证明。</w:t>
      </w:r>
    </w:p>
    <w:p w14:paraId="219D096A">
      <w:pPr>
        <w:tabs>
          <w:tab w:val="left" w:pos="643"/>
        </w:tabs>
        <w:overflowPunct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sz w:val="32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6"/>
        </w:rPr>
        <w:t>2.有党、政正职的单位党、政正职出差互签审批。</w:t>
      </w:r>
    </w:p>
    <w:p w14:paraId="41450AA9">
      <w:pPr>
        <w:tabs>
          <w:tab w:val="left" w:pos="643"/>
        </w:tabs>
        <w:overflowPunct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sz w:val="32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6"/>
        </w:rPr>
        <w:t>3.党政部门正职出差由主管校领导审批。</w:t>
      </w:r>
    </w:p>
    <w:p w14:paraId="0F577D15">
      <w:pPr>
        <w:tabs>
          <w:tab w:val="left" w:pos="643"/>
        </w:tabs>
        <w:overflowPunct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sz w:val="32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6"/>
        </w:rPr>
        <w:t>4.本审批表仅作出差报销使用。</w:t>
      </w:r>
    </w:p>
    <w:p w14:paraId="759CA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34F7"/>
    <w:rsid w:val="14C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2026-06-17T11:34:00Z</dcterms:created>
  <dc:creator>Meng</dc:creator>
  <cp:lastModifiedBy>Meng</cp:lastModifiedBy>
  <dcterms:modified xsi:type="dcterms:W3CDTF">2026-06-17T11:35:06Z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3F9688E35E6E4DBAADF389AD95D90A65_11</vt:lpwstr>
  </property>
  <property fmtid="{D5CDD505-2E9C-101B-9397-08002B2CF9AE}" pid="4" name="KSOTemplateDocerSaveRecord">
    <vt:lpwstr>eyJoZGlkIjoiZGQ1OGI4OWI0MWIxNTllZWViNDBlMDU3MmM2YzhiZTQiLCJ1c2VySWQiOiIzMTE2MDM0MjYifQ==</vt:lpwstr>
  </property>
</Properties>
</file>